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177073B8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CA335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A335B" w:rsidRPr="00CA335B">
        <w:rPr>
          <w:rFonts w:asciiTheme="majorHAnsi" w:eastAsia="Times New Roman" w:hAnsiTheme="majorHAnsi" w:cs="Times New Roman"/>
          <w:lang w:eastAsia="cs-CZ"/>
        </w:rPr>
        <w:t>3</w:t>
      </w:r>
      <w:r w:rsidRPr="00CA335B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CA335B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CA335B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CA335B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A335B">
        <w:rPr>
          <w:rFonts w:eastAsia="Times New Roman" w:cs="Times New Roman"/>
          <w:lang w:eastAsia="cs-CZ"/>
        </w:rPr>
        <w:tab/>
      </w:r>
      <w:r w:rsidRPr="00CA335B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CA335B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A335B">
        <w:rPr>
          <w:rFonts w:eastAsia="Times New Roman" w:cs="Times New Roman"/>
          <w:lang w:eastAsia="cs-CZ"/>
        </w:rPr>
        <w:tab/>
      </w:r>
      <w:r w:rsidRPr="00CA335B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24B94E26" w:rsidR="004E1498" w:rsidRPr="004E1498" w:rsidRDefault="004E1498" w:rsidP="004600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A335B">
        <w:rPr>
          <w:rFonts w:eastAsia="Times New Roman" w:cs="Times New Roman"/>
          <w:lang w:eastAsia="cs-CZ"/>
        </w:rPr>
        <w:tab/>
      </w:r>
      <w:r w:rsidRPr="00CA335B">
        <w:rPr>
          <w:rFonts w:eastAsia="Times New Roman" w:cs="Times New Roman"/>
          <w:lang w:eastAsia="cs-CZ"/>
        </w:rPr>
        <w:tab/>
        <w:t xml:space="preserve">zastoupená </w:t>
      </w:r>
      <w:r w:rsidR="00CA335B" w:rsidRPr="00CA335B">
        <w:rPr>
          <w:rFonts w:eastAsia="Times New Roman" w:cs="Times New Roman"/>
          <w:b/>
          <w:lang w:eastAsia="cs-CZ"/>
        </w:rPr>
        <w:t>Ing. Alešem Krejčím, náměstkem GŘ pro ekonomiku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2330A17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</w:t>
      </w:r>
      <w:r w:rsidR="00A53522" w:rsidRPr="00CA335B">
        <w:rPr>
          <w:rFonts w:eastAsia="Times New Roman" w:cs="Times New Roman"/>
          <w:lang w:eastAsia="cs-CZ"/>
        </w:rPr>
        <w:t>výběrového</w:t>
      </w:r>
      <w:r w:rsidRPr="00CA335B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CA335B">
        <w:rPr>
          <w:rFonts w:eastAsia="Times New Roman" w:cs="Times New Roman"/>
          <w:lang w:eastAsia="cs-CZ"/>
        </w:rPr>
        <w:t>„</w:t>
      </w:r>
      <w:r w:rsidR="00CA335B" w:rsidRPr="00CA335B">
        <w:rPr>
          <w:rFonts w:ascii="Verdana" w:eastAsia="Verdana" w:hAnsi="Verdana" w:cs="Verdana"/>
          <w:b/>
          <w:color w:val="000000"/>
        </w:rPr>
        <w:t>Manažerský reporting bytového fondu SŽ</w:t>
      </w:r>
      <w:r w:rsidRPr="00CA335B">
        <w:rPr>
          <w:rFonts w:eastAsia="Times New Roman" w:cs="Times New Roman"/>
          <w:lang w:eastAsia="cs-CZ"/>
        </w:rPr>
        <w:t xml:space="preserve">“, </w:t>
      </w:r>
      <w:r w:rsidR="000D278B" w:rsidRPr="00CA335B">
        <w:rPr>
          <w:rFonts w:eastAsia="Times New Roman" w:cs="Times New Roman"/>
          <w:lang w:eastAsia="cs-CZ"/>
        </w:rPr>
        <w:t xml:space="preserve">č.j. veřejné zakázky </w:t>
      </w:r>
      <w:r w:rsidR="00CA335B" w:rsidRPr="00CA335B">
        <w:rPr>
          <w:rFonts w:eastAsia="Times New Roman" w:cs="Times New Roman"/>
          <w:lang w:eastAsia="cs-CZ"/>
        </w:rPr>
        <w:t>39065/2022-SŽ-GŘ-O8</w:t>
      </w:r>
      <w:r w:rsidR="005740C3" w:rsidRPr="00CA335B">
        <w:rPr>
          <w:rFonts w:eastAsia="Times New Roman" w:cs="Times New Roman"/>
          <w:lang w:eastAsia="cs-CZ"/>
        </w:rPr>
        <w:t xml:space="preserve"> </w:t>
      </w:r>
      <w:r w:rsidRPr="00CA335B">
        <w:rPr>
          <w:rFonts w:eastAsia="Times New Roman" w:cs="Times New Roman"/>
          <w:lang w:eastAsia="cs-CZ"/>
        </w:rPr>
        <w:t>(dále jen „</w:t>
      </w:r>
      <w:r w:rsidR="00380260" w:rsidRPr="00CA335B">
        <w:rPr>
          <w:rFonts w:eastAsia="Times New Roman" w:cs="Times New Roman"/>
          <w:b/>
          <w:lang w:eastAsia="cs-CZ"/>
        </w:rPr>
        <w:t xml:space="preserve">Veřejná </w:t>
      </w:r>
      <w:r w:rsidRPr="00CA335B">
        <w:rPr>
          <w:rFonts w:eastAsia="Times New Roman" w:cs="Times New Roman"/>
          <w:b/>
          <w:lang w:eastAsia="cs-CZ"/>
        </w:rPr>
        <w:t>zakázka</w:t>
      </w:r>
      <w:r w:rsidR="006566F7" w:rsidRPr="00CA335B">
        <w:rPr>
          <w:rFonts w:eastAsia="Times New Roman" w:cs="Times New Roman"/>
          <w:lang w:eastAsia="cs-CZ"/>
        </w:rPr>
        <w:t>“). Jednotlivá ustanovení této S</w:t>
      </w:r>
      <w:r w:rsidRPr="00CA335B">
        <w:rPr>
          <w:rFonts w:eastAsia="Times New Roman" w:cs="Times New Roman"/>
          <w:lang w:eastAsia="cs-CZ"/>
        </w:rPr>
        <w:t>mlouvy tak budou</w:t>
      </w:r>
      <w:r w:rsidRPr="004E1498">
        <w:rPr>
          <w:rFonts w:eastAsia="Times New Roman" w:cs="Times New Roman"/>
          <w:lang w:eastAsia="cs-CZ"/>
        </w:rPr>
        <w:t xml:space="preserve">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EC6E040" w14:textId="77777777" w:rsidR="00CA335B" w:rsidRDefault="004E1498" w:rsidP="00CA335B">
      <w:pPr>
        <w:pStyle w:val="Nadpis2"/>
        <w:jc w:val="left"/>
      </w:pPr>
      <w:r w:rsidRPr="004E1498">
        <w:t xml:space="preserve">Předmětem díla je </w:t>
      </w:r>
      <w:r w:rsidR="00CA335B">
        <w:t>rozdělen do následujících etap:</w:t>
      </w:r>
    </w:p>
    <w:p w14:paraId="0B516D4F" w14:textId="77777777" w:rsidR="008849C6" w:rsidRPr="00414796" w:rsidRDefault="008849C6" w:rsidP="008849C6">
      <w:pPr>
        <w:spacing w:after="0" w:line="240" w:lineRule="auto"/>
        <w:ind w:left="1413" w:right="28" w:hanging="846"/>
        <w:rPr>
          <w:rFonts w:ascii="Verdana" w:eastAsia="Verdana" w:hAnsi="Verdana" w:cs="Verdana"/>
          <w:color w:val="000000"/>
        </w:rPr>
      </w:pPr>
      <w:r w:rsidRPr="00414796">
        <w:rPr>
          <w:rFonts w:ascii="Verdana" w:eastAsia="Verdana" w:hAnsi="Verdana" w:cs="Verdana"/>
          <w:color w:val="000000"/>
          <w:u w:val="single"/>
        </w:rPr>
        <w:t>Etapa 1:</w:t>
      </w:r>
      <w:r>
        <w:rPr>
          <w:rFonts w:ascii="Verdana" w:eastAsia="Verdana" w:hAnsi="Verdana" w:cs="Verdana"/>
          <w:color w:val="000000"/>
        </w:rPr>
        <w:t xml:space="preserve"> </w:t>
      </w:r>
      <w:r w:rsidRPr="00414796">
        <w:rPr>
          <w:rFonts w:ascii="Verdana" w:eastAsia="Verdana" w:hAnsi="Verdana" w:cs="Verdana"/>
          <w:color w:val="000000"/>
        </w:rPr>
        <w:t>Posouzení dalších možností rozvoje reportingu (se zaměřením na reporting správy bytového fondu)</w:t>
      </w:r>
    </w:p>
    <w:p w14:paraId="4DDB281F" w14:textId="77777777" w:rsidR="008849C6" w:rsidRPr="00F25FAB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F25FAB">
        <w:rPr>
          <w:rFonts w:ascii="Verdana" w:eastAsia="Verdana" w:hAnsi="Verdana" w:cs="Verdana"/>
          <w:color w:val="000000"/>
        </w:rPr>
        <w:t>•</w:t>
      </w:r>
      <w:r w:rsidRPr="00F25FAB">
        <w:rPr>
          <w:rFonts w:ascii="Verdana" w:eastAsia="Verdana" w:hAnsi="Verdana" w:cs="Verdana"/>
          <w:color w:val="000000"/>
        </w:rPr>
        <w:tab/>
        <w:t>Přehled byznys procesů a požadavků managementu SŽ, které jsou kladeny na management bytového fondu</w:t>
      </w:r>
    </w:p>
    <w:p w14:paraId="6B9EFE7B" w14:textId="77777777" w:rsidR="008849C6" w:rsidRPr="00F25FAB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F25FAB">
        <w:rPr>
          <w:rFonts w:ascii="Verdana" w:eastAsia="Verdana" w:hAnsi="Verdana" w:cs="Verdana"/>
          <w:color w:val="000000"/>
        </w:rPr>
        <w:t>•</w:t>
      </w:r>
      <w:r w:rsidRPr="00F25FAB">
        <w:rPr>
          <w:rFonts w:ascii="Verdana" w:eastAsia="Verdana" w:hAnsi="Verdana" w:cs="Verdana"/>
          <w:color w:val="000000"/>
        </w:rPr>
        <w:tab/>
        <w:t>Verifikace datových zdrojů a validace dat potřebných pro reporting správy bytového fondu</w:t>
      </w:r>
    </w:p>
    <w:p w14:paraId="4D95B0FD" w14:textId="77777777" w:rsidR="008849C6" w:rsidRPr="00F25FAB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F25FAB">
        <w:rPr>
          <w:rFonts w:ascii="Verdana" w:eastAsia="Verdana" w:hAnsi="Verdana" w:cs="Verdana"/>
          <w:color w:val="000000"/>
        </w:rPr>
        <w:t>•</w:t>
      </w:r>
      <w:r w:rsidRPr="00F25FAB">
        <w:rPr>
          <w:rFonts w:ascii="Verdana" w:eastAsia="Verdana" w:hAnsi="Verdana" w:cs="Verdana"/>
          <w:color w:val="000000"/>
        </w:rPr>
        <w:tab/>
        <w:t>Konzultace návrhu s relevantními odbornými útvary SŽ (vybrané odbory GŘ a vybrané OJ)</w:t>
      </w:r>
    </w:p>
    <w:p w14:paraId="02B3C0F1" w14:textId="77777777" w:rsidR="008849C6" w:rsidRPr="00F25FAB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F25FAB">
        <w:rPr>
          <w:rFonts w:ascii="Verdana" w:eastAsia="Verdana" w:hAnsi="Verdana" w:cs="Verdana"/>
          <w:color w:val="000000"/>
        </w:rPr>
        <w:t>•</w:t>
      </w:r>
      <w:r w:rsidRPr="00F25FAB">
        <w:rPr>
          <w:rFonts w:ascii="Verdana" w:eastAsia="Verdana" w:hAnsi="Verdana" w:cs="Verdana"/>
          <w:color w:val="000000"/>
        </w:rPr>
        <w:tab/>
        <w:t>Revize počtu budoucích uživatelů ve vazbě na dostupný počet licencí a nákladovou efektivitu</w:t>
      </w:r>
    </w:p>
    <w:p w14:paraId="44FD87A9" w14:textId="77777777" w:rsidR="008849C6" w:rsidRPr="008849C6" w:rsidRDefault="008849C6" w:rsidP="008849C6">
      <w:pPr>
        <w:spacing w:after="0" w:line="240" w:lineRule="auto"/>
        <w:ind w:left="1413" w:right="28" w:hanging="846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  <w:u w:val="single"/>
        </w:rPr>
        <w:t>Etapa 2</w:t>
      </w:r>
      <w:r w:rsidRPr="008849C6">
        <w:rPr>
          <w:rFonts w:ascii="Verdana" w:eastAsia="Verdana" w:hAnsi="Verdana" w:cs="Verdana"/>
          <w:color w:val="000000"/>
        </w:rPr>
        <w:t>: Zpracování funkčního a technického zadání pro implementaci reportingu</w:t>
      </w:r>
    </w:p>
    <w:p w14:paraId="4D4A3B62" w14:textId="77777777" w:rsidR="008849C6" w:rsidRPr="008849C6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lastRenderedPageBreak/>
        <w:t>•</w:t>
      </w:r>
      <w:r w:rsidRPr="008849C6">
        <w:rPr>
          <w:rFonts w:ascii="Verdana" w:eastAsia="Verdana" w:hAnsi="Verdana" w:cs="Verdana"/>
          <w:color w:val="000000"/>
        </w:rPr>
        <w:tab/>
        <w:t>Podpora přípravy technického řešení reportů ve formě zpracování ukázkového dema nad skutečnými daty pro účely technického zadání pro implementaci</w:t>
      </w:r>
    </w:p>
    <w:p w14:paraId="33D4F90B" w14:textId="77777777" w:rsidR="008849C6" w:rsidRPr="008849C6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t>•</w:t>
      </w:r>
      <w:r w:rsidRPr="008849C6">
        <w:rPr>
          <w:rFonts w:ascii="Verdana" w:eastAsia="Verdana" w:hAnsi="Verdana" w:cs="Verdana"/>
          <w:color w:val="000000"/>
        </w:rPr>
        <w:tab/>
        <w:t>Ověření funkčnosti reportu (soulad s byznys požadavky a technické řešení) na základě zpracování vzorku zpracovaných skutečných dat ze SAP a připraveného dema</w:t>
      </w:r>
    </w:p>
    <w:p w14:paraId="0C62D7B1" w14:textId="77777777" w:rsidR="008849C6" w:rsidRPr="008849C6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t>•</w:t>
      </w:r>
      <w:r w:rsidRPr="008849C6">
        <w:rPr>
          <w:rFonts w:ascii="Verdana" w:eastAsia="Verdana" w:hAnsi="Verdana" w:cs="Verdana"/>
          <w:color w:val="000000"/>
        </w:rPr>
        <w:tab/>
        <w:t>Zmapování nutných úprav datové základny (validace aktuálních dat, doplnění nových dat, opravy údajů)</w:t>
      </w:r>
    </w:p>
    <w:p w14:paraId="46F959B9" w14:textId="77777777" w:rsidR="008849C6" w:rsidRPr="008849C6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t>•</w:t>
      </w:r>
      <w:r w:rsidRPr="008849C6">
        <w:rPr>
          <w:rFonts w:ascii="Verdana" w:eastAsia="Verdana" w:hAnsi="Verdana" w:cs="Verdana"/>
          <w:color w:val="000000"/>
        </w:rPr>
        <w:tab/>
        <w:t>Asistence při zpracování relevantních interních metodik SŽ</w:t>
      </w:r>
    </w:p>
    <w:p w14:paraId="66F3DF6D" w14:textId="77777777" w:rsidR="008849C6" w:rsidRPr="008849C6" w:rsidRDefault="008849C6" w:rsidP="008849C6">
      <w:pPr>
        <w:spacing w:after="0" w:line="240" w:lineRule="auto"/>
        <w:ind w:left="1413" w:right="28" w:hanging="846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t>Etapa 3: Projektové řízení implementace a testování navrženého reportingu správy bytového fondu</w:t>
      </w:r>
    </w:p>
    <w:p w14:paraId="34CF54E8" w14:textId="77777777" w:rsidR="008849C6" w:rsidRPr="008849C6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t>•</w:t>
      </w:r>
      <w:r w:rsidRPr="008849C6">
        <w:rPr>
          <w:rFonts w:ascii="Verdana" w:eastAsia="Verdana" w:hAnsi="Verdana" w:cs="Verdana"/>
          <w:color w:val="000000"/>
        </w:rPr>
        <w:tab/>
        <w:t>Projektové řízení, zejména řízení úkolů a rizik, administrace a vedení projektové kanceláře</w:t>
      </w:r>
    </w:p>
    <w:p w14:paraId="10F908DF" w14:textId="77777777" w:rsidR="008849C6" w:rsidRPr="008849C6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t>•</w:t>
      </w:r>
      <w:r w:rsidRPr="008849C6">
        <w:rPr>
          <w:rFonts w:ascii="Verdana" w:eastAsia="Verdana" w:hAnsi="Verdana" w:cs="Verdana"/>
          <w:color w:val="000000"/>
        </w:rPr>
        <w:tab/>
        <w:t>Sestavení řídícího harmonogramu projektových prací a zajišťování souladu prací s tímto harmonogramem</w:t>
      </w:r>
    </w:p>
    <w:p w14:paraId="3CD61C84" w14:textId="77777777" w:rsidR="008849C6" w:rsidRPr="008849C6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t>•</w:t>
      </w:r>
      <w:r w:rsidRPr="008849C6">
        <w:rPr>
          <w:rFonts w:ascii="Verdana" w:eastAsia="Verdana" w:hAnsi="Verdana" w:cs="Verdana"/>
          <w:color w:val="000000"/>
        </w:rPr>
        <w:tab/>
        <w:t>Zpracování statusů aktuálního stavu plnění definovaných úkolů v rámci přiřazených odpovědností a rolí za jednotlivé oblasti</w:t>
      </w:r>
    </w:p>
    <w:p w14:paraId="7D10D50F" w14:textId="77777777" w:rsidR="008849C6" w:rsidRPr="008849C6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t>•</w:t>
      </w:r>
      <w:r w:rsidRPr="008849C6">
        <w:rPr>
          <w:rFonts w:ascii="Verdana" w:eastAsia="Verdana" w:hAnsi="Verdana" w:cs="Verdana"/>
          <w:color w:val="000000"/>
        </w:rPr>
        <w:tab/>
        <w:t>Zajištění prací souladu programátora, respektive IT řešení s byznys zadáním, respektive cílovým konceptem navrženého řešení</w:t>
      </w:r>
    </w:p>
    <w:p w14:paraId="09CA89E1" w14:textId="77777777" w:rsidR="008849C6" w:rsidRPr="008849C6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t>•</w:t>
      </w:r>
      <w:r w:rsidRPr="008849C6">
        <w:rPr>
          <w:rFonts w:ascii="Verdana" w:eastAsia="Verdana" w:hAnsi="Verdana" w:cs="Verdana"/>
          <w:color w:val="000000"/>
        </w:rPr>
        <w:tab/>
        <w:t>Definice požadavků na dokumentaci implementovaného IT řešení</w:t>
      </w:r>
    </w:p>
    <w:p w14:paraId="3A181FBB" w14:textId="77777777" w:rsidR="008849C6" w:rsidRPr="008849C6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t>•</w:t>
      </w:r>
      <w:r w:rsidRPr="008849C6">
        <w:rPr>
          <w:rFonts w:ascii="Verdana" w:eastAsia="Verdana" w:hAnsi="Verdana" w:cs="Verdana"/>
          <w:color w:val="000000"/>
        </w:rPr>
        <w:tab/>
        <w:t>Komunikační podpora, organizace školení a další související podpůrné části</w:t>
      </w:r>
    </w:p>
    <w:p w14:paraId="4A861C1B" w14:textId="77777777" w:rsidR="008849C6" w:rsidRPr="00414796" w:rsidRDefault="008849C6" w:rsidP="008849C6">
      <w:pPr>
        <w:spacing w:after="0" w:line="240" w:lineRule="auto"/>
        <w:ind w:left="1413" w:right="28" w:hanging="846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t>Etapa 4:</w:t>
      </w:r>
      <w:r>
        <w:rPr>
          <w:rFonts w:ascii="Verdana" w:eastAsia="Verdana" w:hAnsi="Verdana" w:cs="Verdana"/>
          <w:color w:val="000000"/>
        </w:rPr>
        <w:t xml:space="preserve"> </w:t>
      </w:r>
      <w:r w:rsidRPr="00414796">
        <w:rPr>
          <w:rFonts w:ascii="Verdana" w:eastAsia="Verdana" w:hAnsi="Verdana" w:cs="Verdana"/>
          <w:color w:val="000000"/>
        </w:rPr>
        <w:t xml:space="preserve">Evidence nájemních smluv, kde je SŽ v roli nájemníka </w:t>
      </w:r>
    </w:p>
    <w:p w14:paraId="15F1031D" w14:textId="77777777" w:rsidR="008849C6" w:rsidRPr="00F25FAB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F25FAB">
        <w:rPr>
          <w:rFonts w:ascii="Verdana" w:eastAsia="Verdana" w:hAnsi="Verdana" w:cs="Verdana"/>
          <w:color w:val="000000"/>
        </w:rPr>
        <w:t>•</w:t>
      </w:r>
      <w:r w:rsidRPr="00F25FAB">
        <w:rPr>
          <w:rFonts w:ascii="Verdana" w:eastAsia="Verdana" w:hAnsi="Verdana" w:cs="Verdana"/>
          <w:color w:val="000000"/>
        </w:rPr>
        <w:tab/>
        <w:t>Návrh způsobu vedení evidence předmětných smluv</w:t>
      </w:r>
    </w:p>
    <w:p w14:paraId="5A113811" w14:textId="77777777" w:rsidR="008849C6" w:rsidRPr="00F25FAB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F25FAB">
        <w:rPr>
          <w:rFonts w:ascii="Verdana" w:eastAsia="Verdana" w:hAnsi="Verdana" w:cs="Verdana"/>
          <w:color w:val="000000"/>
        </w:rPr>
        <w:t>•</w:t>
      </w:r>
      <w:r w:rsidRPr="00F25FAB">
        <w:rPr>
          <w:rFonts w:ascii="Verdana" w:eastAsia="Verdana" w:hAnsi="Verdana" w:cs="Verdana"/>
          <w:color w:val="000000"/>
        </w:rPr>
        <w:tab/>
        <w:t>Zmapování stávajícího stavu vedení smluv a stanovení požadavků na jednotný přehled</w:t>
      </w:r>
    </w:p>
    <w:p w14:paraId="61A0B76B" w14:textId="77777777" w:rsidR="008849C6" w:rsidRDefault="008849C6" w:rsidP="008849C6">
      <w:pPr>
        <w:spacing w:after="0" w:line="240" w:lineRule="auto"/>
        <w:ind w:left="1701" w:right="28" w:hanging="279"/>
        <w:rPr>
          <w:rFonts w:ascii="Verdana" w:eastAsia="Verdana" w:hAnsi="Verdana" w:cs="Verdana"/>
          <w:color w:val="000000"/>
        </w:rPr>
      </w:pPr>
      <w:r w:rsidRPr="00F25FAB">
        <w:rPr>
          <w:rFonts w:ascii="Verdana" w:eastAsia="Verdana" w:hAnsi="Verdana" w:cs="Verdana"/>
          <w:color w:val="000000"/>
        </w:rPr>
        <w:t>•</w:t>
      </w:r>
      <w:r w:rsidRPr="00F25FAB">
        <w:rPr>
          <w:rFonts w:ascii="Verdana" w:eastAsia="Verdana" w:hAnsi="Verdana" w:cs="Verdana"/>
          <w:color w:val="000000"/>
        </w:rPr>
        <w:tab/>
        <w:t>Konzultace návrhu s relevantními odbornými útvary SŽ (vybrané odbory GŘ a vybrané OJ)</w:t>
      </w:r>
    </w:p>
    <w:p w14:paraId="3AFBC5B8" w14:textId="3A03DC85" w:rsidR="00CA335B" w:rsidRPr="008849C6" w:rsidRDefault="008849C6" w:rsidP="008849C6">
      <w:pPr>
        <w:spacing w:after="0" w:line="240" w:lineRule="auto"/>
        <w:ind w:left="1413" w:right="28" w:hanging="846"/>
        <w:rPr>
          <w:rFonts w:ascii="Verdana" w:eastAsia="Verdana" w:hAnsi="Verdana" w:cs="Verdana"/>
          <w:color w:val="000000"/>
        </w:rPr>
      </w:pPr>
      <w:r w:rsidRPr="008849C6">
        <w:rPr>
          <w:rFonts w:ascii="Verdana" w:eastAsia="Verdana" w:hAnsi="Verdana" w:cs="Verdana"/>
          <w:color w:val="000000"/>
        </w:rPr>
        <w:t xml:space="preserve">Etapa 5: </w:t>
      </w:r>
      <w:r w:rsidR="00CA335B" w:rsidRPr="008849C6">
        <w:rPr>
          <w:rFonts w:ascii="Verdana" w:eastAsia="Verdana" w:hAnsi="Verdana" w:cs="Verdana"/>
          <w:color w:val="000000"/>
        </w:rPr>
        <w:t>Ostatní ad hoc práce dle specifikace Objednatele</w:t>
      </w:r>
    </w:p>
    <w:p w14:paraId="6A89C794" w14:textId="79808EF2" w:rsidR="00CA335B" w:rsidRPr="00A12EA4" w:rsidRDefault="00CA335B" w:rsidP="00CA335B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  <w:rPr>
          <w:rFonts w:ascii="Verdana" w:eastAsia="Verdana" w:hAnsi="Verdana" w:cs="Verdana"/>
          <w:color w:val="000000"/>
        </w:rPr>
      </w:pPr>
      <w:r w:rsidRPr="00A12EA4">
        <w:rPr>
          <w:rFonts w:ascii="Verdana" w:eastAsia="Verdana" w:hAnsi="Verdana" w:cs="Verdana"/>
        </w:rPr>
        <w:t xml:space="preserve">Práce konané </w:t>
      </w:r>
      <w:r w:rsidR="008849C6" w:rsidRPr="00A12EA4">
        <w:rPr>
          <w:rFonts w:ascii="Verdana" w:eastAsia="Verdana" w:hAnsi="Verdana" w:cs="Verdana"/>
          <w:color w:val="000000"/>
        </w:rPr>
        <w:t>v rámci etapy 5</w:t>
      </w:r>
      <w:r w:rsidRPr="00A12EA4">
        <w:rPr>
          <w:rFonts w:ascii="Verdana" w:eastAsia="Verdana" w:hAnsi="Verdana" w:cs="Verdana"/>
          <w:color w:val="000000"/>
        </w:rPr>
        <w:t xml:space="preserve"> může Objednatel objednat v maximálním rozsahu 150 hodin za celou dobu plnění, Objednatel však není povinen objednat byť jednu hodinu těchto prací.</w:t>
      </w:r>
    </w:p>
    <w:p w14:paraId="42BA6304" w14:textId="492A6599" w:rsidR="00CA335B" w:rsidRPr="00A12EA4" w:rsidRDefault="00CA335B" w:rsidP="00CA335B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  <w:rPr>
          <w:rFonts w:ascii="Verdana" w:eastAsia="Verdana" w:hAnsi="Verdana" w:cs="Verdana"/>
          <w:color w:val="000000"/>
        </w:rPr>
      </w:pPr>
      <w:r w:rsidRPr="00A12EA4">
        <w:rPr>
          <w:rFonts w:ascii="Verdana" w:eastAsia="Verdana" w:hAnsi="Verdana" w:cs="Verdana"/>
          <w:color w:val="000000"/>
        </w:rPr>
        <w:t xml:space="preserve">Objednatel je oprávněn práce </w:t>
      </w:r>
      <w:r w:rsidR="00E45EDD" w:rsidRPr="00A12EA4">
        <w:rPr>
          <w:rFonts w:ascii="Verdana" w:eastAsia="Verdana" w:hAnsi="Verdana" w:cs="Verdana"/>
        </w:rPr>
        <w:t xml:space="preserve">konané </w:t>
      </w:r>
      <w:r w:rsidR="00E45EDD" w:rsidRPr="00A12EA4">
        <w:rPr>
          <w:rFonts w:ascii="Verdana" w:eastAsia="Verdana" w:hAnsi="Verdana" w:cs="Verdana"/>
          <w:color w:val="000000"/>
        </w:rPr>
        <w:t xml:space="preserve">v rámci etapy 5 </w:t>
      </w:r>
      <w:r w:rsidRPr="00A12EA4">
        <w:rPr>
          <w:rFonts w:ascii="Verdana" w:eastAsia="Verdana" w:hAnsi="Verdana" w:cs="Verdana"/>
          <w:color w:val="000000"/>
        </w:rPr>
        <w:t>objednat nejpozději do 4 měsíců od účinnosti smlouvy, nedohodnou-li se strany jinak.</w:t>
      </w:r>
    </w:p>
    <w:p w14:paraId="037559A9" w14:textId="7A88707A" w:rsidR="00CA335B" w:rsidRPr="00A12EA4" w:rsidRDefault="00CA335B" w:rsidP="00CA335B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  <w:rPr>
          <w:rFonts w:ascii="Verdana" w:eastAsia="Verdana" w:hAnsi="Verdana" w:cs="Verdana"/>
          <w:color w:val="000000"/>
        </w:rPr>
      </w:pPr>
      <w:r w:rsidRPr="00A12EA4">
        <w:rPr>
          <w:rFonts w:ascii="Verdana" w:eastAsia="Verdana" w:hAnsi="Verdana" w:cs="Verdana"/>
          <w:color w:val="000000"/>
        </w:rPr>
        <w:t xml:space="preserve">Práce </w:t>
      </w:r>
      <w:r w:rsidR="00E45EDD" w:rsidRPr="00A12EA4">
        <w:rPr>
          <w:rFonts w:ascii="Verdana" w:eastAsia="Verdana" w:hAnsi="Verdana" w:cs="Verdana"/>
          <w:color w:val="000000"/>
        </w:rPr>
        <w:t xml:space="preserve">konané </w:t>
      </w:r>
      <w:r w:rsidRPr="00A12EA4">
        <w:rPr>
          <w:rFonts w:ascii="Verdana" w:eastAsia="Verdana" w:hAnsi="Verdana" w:cs="Verdana"/>
          <w:color w:val="000000"/>
        </w:rPr>
        <w:t>v</w:t>
      </w:r>
      <w:r w:rsidR="00E45EDD" w:rsidRPr="00A12EA4">
        <w:rPr>
          <w:rFonts w:ascii="Verdana" w:eastAsia="Verdana" w:hAnsi="Verdana" w:cs="Verdana"/>
          <w:color w:val="000000"/>
        </w:rPr>
        <w:t xml:space="preserve"> rámci</w:t>
      </w:r>
      <w:r w:rsidRPr="00A12EA4">
        <w:rPr>
          <w:rFonts w:ascii="Verdana" w:eastAsia="Verdana" w:hAnsi="Verdana" w:cs="Verdana"/>
          <w:color w:val="000000"/>
        </w:rPr>
        <w:t> etap</w:t>
      </w:r>
      <w:r w:rsidR="00E45EDD" w:rsidRPr="00A12EA4">
        <w:rPr>
          <w:rFonts w:ascii="Verdana" w:eastAsia="Verdana" w:hAnsi="Verdana" w:cs="Verdana"/>
          <w:color w:val="000000"/>
        </w:rPr>
        <w:t>y</w:t>
      </w:r>
      <w:r w:rsidR="008849C6" w:rsidRPr="00A12EA4">
        <w:rPr>
          <w:rFonts w:ascii="Verdana" w:eastAsia="Verdana" w:hAnsi="Verdana" w:cs="Verdana"/>
          <w:color w:val="000000"/>
        </w:rPr>
        <w:t xml:space="preserve"> 5</w:t>
      </w:r>
      <w:r w:rsidRPr="00A12EA4">
        <w:rPr>
          <w:rFonts w:ascii="Verdana" w:eastAsia="Verdana" w:hAnsi="Verdana" w:cs="Verdana"/>
          <w:color w:val="000000"/>
        </w:rPr>
        <w:t xml:space="preserve"> budou obdobného charakteru jako práce uvedené v etapách 1 – 4 předmětu plnění. Budou zadávány v souvislosti s těmito etapami, zpravidla sloužící k doplnění plnění učiněných v etapě 1 – 4.</w:t>
      </w:r>
    </w:p>
    <w:p w14:paraId="47FD6DA1" w14:textId="25D75FFC" w:rsidR="00CA335B" w:rsidRDefault="00CA335B" w:rsidP="00CA335B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Objednatel bude objednávat práce </w:t>
      </w:r>
      <w:r w:rsidR="00CD43B3">
        <w:rPr>
          <w:rFonts w:ascii="Verdana" w:eastAsia="Verdana" w:hAnsi="Verdana" w:cs="Verdana"/>
          <w:color w:val="000000"/>
        </w:rPr>
        <w:t xml:space="preserve">konané v rámci etapy 5 </w:t>
      </w:r>
      <w:r>
        <w:rPr>
          <w:rFonts w:ascii="Verdana" w:eastAsia="Verdana" w:hAnsi="Verdana" w:cs="Verdana"/>
          <w:color w:val="000000"/>
        </w:rPr>
        <w:t xml:space="preserve">písemně, zpravidla prostřednictvím kontaktních osob. Objednávka bude realizován prostřednictvím e-mailové pošty, a to tak, že Objednatel stanoví konkrétní zadání Zhotoviteli. Zhotovitel do 24 hodin od obdržení zadání navrhne </w:t>
      </w:r>
      <w:r w:rsidR="00E45EDD">
        <w:rPr>
          <w:rFonts w:ascii="Verdana" w:eastAsia="Verdana" w:hAnsi="Verdana" w:cs="Verdana"/>
          <w:color w:val="000000"/>
        </w:rPr>
        <w:t>časovou náročnost</w:t>
      </w:r>
      <w:r>
        <w:rPr>
          <w:rFonts w:ascii="Verdana" w:eastAsia="Verdana" w:hAnsi="Verdana" w:cs="Verdana"/>
          <w:color w:val="000000"/>
        </w:rPr>
        <w:t xml:space="preserve"> požadovaných prací. Objednatel potvrdí stanovenou </w:t>
      </w:r>
      <w:r w:rsidR="00E45EDD">
        <w:rPr>
          <w:rFonts w:ascii="Verdana" w:eastAsia="Verdana" w:hAnsi="Verdana" w:cs="Verdana"/>
          <w:color w:val="000000"/>
        </w:rPr>
        <w:t>časovou náročnost</w:t>
      </w:r>
      <w:r>
        <w:rPr>
          <w:rFonts w:ascii="Verdana" w:eastAsia="Verdana" w:hAnsi="Verdana" w:cs="Verdana"/>
          <w:color w:val="000000"/>
        </w:rPr>
        <w:t xml:space="preserve">, popřípadě </w:t>
      </w:r>
      <w:r w:rsidR="00E45EDD">
        <w:rPr>
          <w:rFonts w:ascii="Verdana" w:eastAsia="Verdana" w:hAnsi="Verdana" w:cs="Verdana"/>
          <w:color w:val="000000"/>
        </w:rPr>
        <w:t xml:space="preserve">proti ní </w:t>
      </w:r>
      <w:r>
        <w:rPr>
          <w:rFonts w:ascii="Verdana" w:eastAsia="Verdana" w:hAnsi="Verdana" w:cs="Verdana"/>
          <w:color w:val="000000"/>
        </w:rPr>
        <w:t>vznese námitky</w:t>
      </w:r>
      <w:r w:rsidR="00E45EDD">
        <w:rPr>
          <w:rFonts w:ascii="Verdana" w:eastAsia="Verdana" w:hAnsi="Verdana" w:cs="Verdana"/>
          <w:color w:val="000000"/>
        </w:rPr>
        <w:t>.</w:t>
      </w:r>
      <w:r>
        <w:rPr>
          <w:rFonts w:ascii="Verdana" w:eastAsia="Verdana" w:hAnsi="Verdana" w:cs="Verdana"/>
          <w:color w:val="000000"/>
        </w:rPr>
        <w:t xml:space="preserve"> V případě, že se rozpory v</w:t>
      </w:r>
      <w:r w:rsidR="00E45EDD">
        <w:rPr>
          <w:rFonts w:ascii="Verdana" w:eastAsia="Verdana" w:hAnsi="Verdana" w:cs="Verdana"/>
          <w:color w:val="000000"/>
        </w:rPr>
        <w:t> </w:t>
      </w:r>
      <w:r>
        <w:rPr>
          <w:rFonts w:ascii="Verdana" w:eastAsia="Verdana" w:hAnsi="Verdana" w:cs="Verdana"/>
          <w:color w:val="000000"/>
        </w:rPr>
        <w:t>rozsahu</w:t>
      </w:r>
      <w:r w:rsidR="00E45EDD">
        <w:rPr>
          <w:rFonts w:ascii="Verdana" w:eastAsia="Verdana" w:hAnsi="Verdana" w:cs="Verdana"/>
          <w:color w:val="000000"/>
        </w:rPr>
        <w:t xml:space="preserve"> časové náročnosti</w:t>
      </w:r>
      <w:r>
        <w:rPr>
          <w:rFonts w:ascii="Verdana" w:eastAsia="Verdana" w:hAnsi="Verdana" w:cs="Verdana"/>
          <w:color w:val="000000"/>
        </w:rPr>
        <w:t xml:space="preserve"> nepodaří odstranit, Objednatel je oprávněn ke stanovení </w:t>
      </w:r>
      <w:r w:rsidR="00E45EDD">
        <w:rPr>
          <w:rFonts w:ascii="Verdana" w:eastAsia="Verdana" w:hAnsi="Verdana" w:cs="Verdana"/>
          <w:color w:val="000000"/>
        </w:rPr>
        <w:t>časové náročnosti</w:t>
      </w:r>
      <w:r>
        <w:rPr>
          <w:rFonts w:ascii="Verdana" w:eastAsia="Verdana" w:hAnsi="Verdana" w:cs="Verdana"/>
          <w:color w:val="000000"/>
        </w:rPr>
        <w:t xml:space="preserve"> stanovit nezávislého znalce. Případné náklady na znalce nese Zhotovitel, ledaže se prokáže, že Zhotovitelem stanovený rozsah </w:t>
      </w:r>
      <w:r w:rsidR="00E45EDD">
        <w:rPr>
          <w:rFonts w:ascii="Verdana" w:eastAsia="Verdana" w:hAnsi="Verdana" w:cs="Verdana"/>
          <w:color w:val="000000"/>
        </w:rPr>
        <w:t>časové náročnosti</w:t>
      </w:r>
      <w:r>
        <w:rPr>
          <w:rFonts w:ascii="Verdana" w:eastAsia="Verdana" w:hAnsi="Verdana" w:cs="Verdana"/>
          <w:color w:val="000000"/>
        </w:rPr>
        <w:t xml:space="preserve"> byl stanoven správně. Jakmile je stanoven rozsah </w:t>
      </w:r>
      <w:r w:rsidR="00E45EDD">
        <w:rPr>
          <w:rFonts w:ascii="Verdana" w:eastAsia="Verdana" w:hAnsi="Verdana" w:cs="Verdana"/>
          <w:color w:val="000000"/>
        </w:rPr>
        <w:t>časové náročnosti</w:t>
      </w:r>
      <w:r>
        <w:rPr>
          <w:rFonts w:ascii="Verdana" w:eastAsia="Verdana" w:hAnsi="Verdana" w:cs="Verdana"/>
          <w:color w:val="000000"/>
        </w:rPr>
        <w:t xml:space="preserve">, Zhotovitel je povinen provést zadání zadané Objednatelem. V případě, že by se v průběhu realizace ukázalo, že rozsah </w:t>
      </w:r>
      <w:r w:rsidR="00E45EDD">
        <w:rPr>
          <w:rFonts w:ascii="Verdana" w:eastAsia="Verdana" w:hAnsi="Verdana" w:cs="Verdana"/>
          <w:color w:val="000000"/>
        </w:rPr>
        <w:t>časové náročnosti</w:t>
      </w:r>
      <w:r>
        <w:rPr>
          <w:rFonts w:ascii="Verdana" w:eastAsia="Verdana" w:hAnsi="Verdana" w:cs="Verdana"/>
          <w:color w:val="000000"/>
        </w:rPr>
        <w:t xml:space="preserve"> nebyl stanoven správně, Zhotovitel o této skutečnosti informuje Objednatele, ten následně potvrdí nový rozsah </w:t>
      </w:r>
      <w:r w:rsidR="00E45EDD">
        <w:rPr>
          <w:rFonts w:ascii="Verdana" w:eastAsia="Verdana" w:hAnsi="Verdana" w:cs="Verdana"/>
          <w:color w:val="000000"/>
        </w:rPr>
        <w:t>časové náročnosti</w:t>
      </w:r>
      <w:r>
        <w:rPr>
          <w:rFonts w:ascii="Verdana" w:eastAsia="Verdana" w:hAnsi="Verdana" w:cs="Verdana"/>
          <w:color w:val="000000"/>
        </w:rPr>
        <w:t xml:space="preserve"> či změní zadání tak, aby byl dodržen původní rozsah </w:t>
      </w:r>
      <w:r w:rsidR="00E45EDD">
        <w:rPr>
          <w:rFonts w:ascii="Verdana" w:eastAsia="Verdana" w:hAnsi="Verdana" w:cs="Verdana"/>
          <w:color w:val="000000"/>
        </w:rPr>
        <w:t>časové náročnosti</w:t>
      </w:r>
      <w:r>
        <w:rPr>
          <w:rFonts w:ascii="Verdana" w:eastAsia="Verdana" w:hAnsi="Verdana" w:cs="Verdana"/>
          <w:color w:val="000000"/>
        </w:rPr>
        <w:t xml:space="preserve">, popřípadě vznese námitky, že k navýšení rozsahu </w:t>
      </w:r>
      <w:r w:rsidR="00DA436E">
        <w:rPr>
          <w:rFonts w:ascii="Verdana" w:eastAsia="Verdana" w:hAnsi="Verdana" w:cs="Verdana"/>
          <w:color w:val="000000"/>
        </w:rPr>
        <w:t>časové náročnosti</w:t>
      </w:r>
      <w:r>
        <w:rPr>
          <w:rFonts w:ascii="Verdana" w:eastAsia="Verdana" w:hAnsi="Verdana" w:cs="Verdana"/>
          <w:color w:val="000000"/>
        </w:rPr>
        <w:t xml:space="preserve"> není důvod.</w:t>
      </w:r>
    </w:p>
    <w:p w14:paraId="03F039C6" w14:textId="71F154A7" w:rsidR="004E1498" w:rsidRPr="00CA335B" w:rsidRDefault="00CA335B" w:rsidP="00CA335B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  <w:rPr>
          <w:rFonts w:ascii="Verdana" w:eastAsia="Verdana" w:hAnsi="Verdana" w:cs="Verdana"/>
          <w:color w:val="000000"/>
        </w:rPr>
      </w:pPr>
      <w:r w:rsidRPr="00D17334">
        <w:rPr>
          <w:rFonts w:ascii="Verdana" w:eastAsia="Verdana" w:hAnsi="Verdana" w:cs="Verdana"/>
          <w:color w:val="000000"/>
        </w:rPr>
        <w:t>Konkrétní forma jednotlivých výstupů</w:t>
      </w:r>
      <w:r>
        <w:rPr>
          <w:rFonts w:ascii="Verdana" w:eastAsia="Verdana" w:hAnsi="Verdana" w:cs="Verdana"/>
          <w:color w:val="000000"/>
        </w:rPr>
        <w:t xml:space="preserve"> (tištěná, elektronická apod.)</w:t>
      </w:r>
      <w:r w:rsidR="008849C6">
        <w:rPr>
          <w:rFonts w:ascii="Verdana" w:eastAsia="Verdana" w:hAnsi="Verdana" w:cs="Verdana"/>
          <w:color w:val="000000"/>
        </w:rPr>
        <w:t xml:space="preserve"> etap 1 – 5</w:t>
      </w:r>
      <w:r w:rsidRPr="00D17334">
        <w:rPr>
          <w:rFonts w:ascii="Verdana" w:eastAsia="Verdana" w:hAnsi="Verdana" w:cs="Verdana"/>
          <w:color w:val="000000"/>
        </w:rPr>
        <w:t xml:space="preserve"> bude specifikována Objednatelem v</w:t>
      </w:r>
      <w:r>
        <w:rPr>
          <w:rFonts w:ascii="Verdana" w:eastAsia="Verdana" w:hAnsi="Verdana" w:cs="Verdana"/>
          <w:color w:val="000000"/>
        </w:rPr>
        <w:t> průběhu zhotovování Díla v</w:t>
      </w:r>
      <w:r w:rsidRPr="00D17334">
        <w:rPr>
          <w:rFonts w:ascii="Verdana" w:eastAsia="Verdana" w:hAnsi="Verdana" w:cs="Verdana"/>
          <w:color w:val="000000"/>
        </w:rPr>
        <w:t> závislosti na obsahu jednotlivých výstu</w:t>
      </w:r>
      <w:r w:rsidRPr="001B6687">
        <w:rPr>
          <w:rFonts w:ascii="Verdana" w:eastAsia="Verdana" w:hAnsi="Verdana" w:cs="Verdana"/>
          <w:color w:val="000000"/>
        </w:rPr>
        <w:t xml:space="preserve">pů. </w:t>
      </w:r>
      <w:bookmarkStart w:id="0" w:name="_GoBack"/>
      <w:bookmarkEnd w:id="0"/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11A003E3" w:rsidR="005740C3" w:rsidRDefault="00810E9B" w:rsidP="005740C3">
      <w:pPr>
        <w:pStyle w:val="Nadpis2"/>
        <w:jc w:val="left"/>
      </w:pPr>
      <w:r w:rsidRPr="00275474">
        <w:t xml:space="preserve">Cena </w:t>
      </w:r>
      <w:r w:rsidR="00CA335B">
        <w:t xml:space="preserve">za 1. – 4. etapu </w:t>
      </w:r>
      <w:r w:rsidRPr="00275474">
        <w:t xml:space="preserve">bez DPH </w:t>
      </w:r>
      <w:r w:rsidRPr="00275474">
        <w:tab/>
      </w:r>
      <w:r w:rsidRPr="00275474">
        <w:tab/>
      </w:r>
      <w:r w:rsidR="008849C6">
        <w:tab/>
      </w:r>
      <w:r w:rsidRPr="00275474"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256C5CA3" w:rsidR="005740C3" w:rsidRDefault="00810E9B" w:rsidP="00CA335B">
      <w:pPr>
        <w:pStyle w:val="Nadpis2"/>
        <w:numPr>
          <w:ilvl w:val="0"/>
          <w:numId w:val="0"/>
        </w:numPr>
        <w:ind w:left="576"/>
        <w:jc w:val="left"/>
      </w:pPr>
      <w:r w:rsidRPr="00275474">
        <w:t xml:space="preserve">Výše DPH 21%     </w:t>
      </w:r>
      <w:r w:rsidRPr="00275474">
        <w:tab/>
        <w:t xml:space="preserve"> </w:t>
      </w:r>
      <w:r w:rsidR="00CA335B">
        <w:tab/>
      </w:r>
      <w:r w:rsidR="00CA335B">
        <w:tab/>
      </w:r>
      <w:r w:rsidR="008849C6">
        <w:tab/>
      </w:r>
      <w:r w:rsidR="00CA335B"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92ABE76" w:rsidR="00810E9B" w:rsidRDefault="00810E9B" w:rsidP="00CA335B">
      <w:pPr>
        <w:pStyle w:val="Nadpis2"/>
        <w:numPr>
          <w:ilvl w:val="0"/>
          <w:numId w:val="0"/>
        </w:numPr>
        <w:ind w:left="576"/>
        <w:jc w:val="left"/>
      </w:pPr>
      <w:r w:rsidRPr="00275474">
        <w:t xml:space="preserve">Cena </w:t>
      </w:r>
      <w:r w:rsidR="00CA335B">
        <w:t xml:space="preserve">za 1. – 4. etapu </w:t>
      </w:r>
      <w:r w:rsidRPr="00275474">
        <w:t xml:space="preserve">včetně DPH </w:t>
      </w:r>
      <w:r w:rsidRPr="00275474">
        <w:tab/>
      </w:r>
      <w:r w:rsidR="008849C6">
        <w:tab/>
      </w:r>
      <w:r w:rsidRPr="00275474"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07D99B86" w14:textId="77777777" w:rsidR="008849C6" w:rsidRPr="008849C6" w:rsidRDefault="008849C6" w:rsidP="008849C6">
      <w:pPr>
        <w:rPr>
          <w:lang w:eastAsia="cs-CZ"/>
        </w:rPr>
      </w:pPr>
    </w:p>
    <w:p w14:paraId="72C4E1C8" w14:textId="77777777" w:rsidR="00CA335B" w:rsidRDefault="00CA335B" w:rsidP="00CA335B">
      <w:pPr>
        <w:pStyle w:val="Nadpis2"/>
        <w:jc w:val="left"/>
      </w:pPr>
      <w:r>
        <w:lastRenderedPageBreak/>
        <w:t>Cena za 1 hod. ad hoc práce bez DPH</w:t>
      </w:r>
      <w:r>
        <w:tab/>
      </w:r>
      <w:r>
        <w:tab/>
      </w:r>
      <w:r w:rsidRPr="00CA335B">
        <w:rPr>
          <w:highlight w:val="green"/>
        </w:rPr>
        <w:t>……………….</w:t>
      </w:r>
      <w:r w:rsidRPr="00275474">
        <w:t xml:space="preserve"> Kč.</w:t>
      </w:r>
    </w:p>
    <w:p w14:paraId="0616AF0B" w14:textId="77777777" w:rsidR="00CA335B" w:rsidRDefault="00CA335B" w:rsidP="00CA335B">
      <w:pPr>
        <w:pStyle w:val="Nadpis2"/>
        <w:numPr>
          <w:ilvl w:val="0"/>
          <w:numId w:val="0"/>
        </w:numPr>
        <w:tabs>
          <w:tab w:val="left" w:pos="4962"/>
        </w:tabs>
        <w:ind w:left="576"/>
        <w:jc w:val="left"/>
      </w:pPr>
      <w:r>
        <w:t xml:space="preserve">Výše DPH 21%     </w:t>
      </w:r>
      <w:r>
        <w:tab/>
      </w:r>
      <w:r w:rsidRPr="00CA335B">
        <w:rPr>
          <w:highlight w:val="green"/>
        </w:rPr>
        <w:t>……………….</w:t>
      </w:r>
      <w:r w:rsidRPr="00275474">
        <w:t xml:space="preserve"> Kč.</w:t>
      </w:r>
    </w:p>
    <w:p w14:paraId="2F45F65D" w14:textId="77777777" w:rsidR="00CA335B" w:rsidRPr="00406093" w:rsidRDefault="00CA335B" w:rsidP="00CA335B">
      <w:pPr>
        <w:ind w:left="576"/>
        <w:rPr>
          <w:lang w:eastAsia="cs-CZ"/>
        </w:rPr>
      </w:pPr>
      <w:r>
        <w:t>Cena za 1 hod. ad hoc práce</w:t>
      </w:r>
      <w:r w:rsidRPr="00275474">
        <w:t xml:space="preserve"> včetně DPH </w:t>
      </w:r>
      <w:r w:rsidRPr="00275474">
        <w:tab/>
      </w:r>
      <w:r w:rsidRPr="00CA335B">
        <w:rPr>
          <w:highlight w:val="green"/>
        </w:rPr>
        <w:t>……………….</w:t>
      </w:r>
      <w:r w:rsidRPr="00275474">
        <w:t xml:space="preserve"> Kč.</w:t>
      </w:r>
    </w:p>
    <w:p w14:paraId="2F152D67" w14:textId="6AEE4894" w:rsidR="00CA335B" w:rsidRPr="00B50C74" w:rsidRDefault="00CD43B3" w:rsidP="00CA335B">
      <w:pPr>
        <w:pStyle w:val="Nadpis2"/>
        <w:jc w:val="left"/>
      </w:pPr>
      <w:r>
        <w:t xml:space="preserve">Zhotovitel je oprávněn </w:t>
      </w:r>
      <w:r w:rsidR="00BC6EF1">
        <w:t xml:space="preserve">zaslat fakturu </w:t>
      </w:r>
      <w:r w:rsidR="00CA335B" w:rsidRPr="00B50C74">
        <w:t xml:space="preserve">za etapu </w:t>
      </w:r>
      <w:r w:rsidR="008849C6">
        <w:t xml:space="preserve">1 – 4 </w:t>
      </w:r>
      <w:r w:rsidR="00CA335B" w:rsidRPr="00B50C74">
        <w:t>po dokončení etapy</w:t>
      </w:r>
      <w:r w:rsidR="008849C6">
        <w:t xml:space="preserve"> 4</w:t>
      </w:r>
      <w:r w:rsidR="00CA335B" w:rsidRPr="00B50C74">
        <w:t xml:space="preserve"> na základě předávacího protokolu podepsaného oběma Smluvními stranami</w:t>
      </w:r>
      <w:r w:rsidR="00250A50">
        <w:t>, který bude přílohou faktury</w:t>
      </w:r>
      <w:r w:rsidR="00CA335B" w:rsidRPr="00B50C74">
        <w:t>.</w:t>
      </w:r>
    </w:p>
    <w:p w14:paraId="5A7B9AD6" w14:textId="5D618B6D" w:rsidR="00CA335B" w:rsidRPr="00B50C74" w:rsidRDefault="00CA335B" w:rsidP="00CA335B">
      <w:pPr>
        <w:pStyle w:val="Nadpis2"/>
        <w:jc w:val="left"/>
        <w:rPr>
          <w:rFonts w:asciiTheme="majorHAnsi" w:hAnsiTheme="majorHAnsi" w:cs="Calibri"/>
          <w:b/>
        </w:rPr>
      </w:pPr>
      <w:r>
        <w:t>Faktur</w:t>
      </w:r>
      <w:r w:rsidR="00BC6EF1">
        <w:t>y</w:t>
      </w:r>
      <w:r w:rsidR="008849C6">
        <w:t xml:space="preserve"> za </w:t>
      </w:r>
      <w:r>
        <w:t xml:space="preserve">etapu </w:t>
      </w:r>
      <w:r w:rsidR="008849C6">
        <w:t xml:space="preserve">5 </w:t>
      </w:r>
      <w:r>
        <w:t>práce a</w:t>
      </w:r>
      <w:r w:rsidRPr="00B50C74">
        <w:t xml:space="preserve">d hoc </w:t>
      </w:r>
      <w:r w:rsidR="00BC6EF1">
        <w:t xml:space="preserve">je Zhotovitel oprávněn zaslat Objednateli </w:t>
      </w:r>
      <w:r w:rsidRPr="00B50C74">
        <w:rPr>
          <w:rFonts w:asciiTheme="majorHAnsi" w:hAnsiTheme="majorHAnsi"/>
        </w:rPr>
        <w:t xml:space="preserve"> vždy na základě skutečně provedených služeb</w:t>
      </w:r>
      <w:r>
        <w:rPr>
          <w:rFonts w:asciiTheme="majorHAnsi" w:hAnsiTheme="majorHAnsi"/>
        </w:rPr>
        <w:t xml:space="preserve"> v souladu s učiněnou objednávkou</w:t>
      </w:r>
      <w:r w:rsidRPr="00B50C74">
        <w:rPr>
          <w:rFonts w:asciiTheme="majorHAnsi" w:hAnsiTheme="majorHAnsi"/>
        </w:rPr>
        <w:t>, po jejich dokončení a převzetí ze strany Objednatele, na základě úkolového listu, jehož výsledkem je předávací protokol podepsaný oběma smluvními stranami</w:t>
      </w:r>
      <w:r w:rsidR="00250A50">
        <w:rPr>
          <w:rFonts w:asciiTheme="majorHAnsi" w:hAnsiTheme="majorHAnsi"/>
        </w:rPr>
        <w:t>, který bude přílohou faktury</w:t>
      </w:r>
      <w:r w:rsidRPr="00B50C74">
        <w:rPr>
          <w:rFonts w:asciiTheme="majorHAnsi" w:hAnsiTheme="majorHAnsi"/>
        </w:rPr>
        <w:t xml:space="preserve">.  </w:t>
      </w:r>
    </w:p>
    <w:p w14:paraId="51ED3764" w14:textId="77777777" w:rsidR="00CA335B" w:rsidRPr="00CA335B" w:rsidRDefault="00CA335B" w:rsidP="00CA335B">
      <w:pPr>
        <w:rPr>
          <w:lang w:eastAsia="cs-CZ"/>
        </w:rPr>
      </w:pPr>
    </w:p>
    <w:p w14:paraId="1AFBED57" w14:textId="77777777" w:rsidR="004E1498" w:rsidRPr="00A32857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A32857">
        <w:rPr>
          <w:rFonts w:eastAsia="Times New Roman"/>
          <w:lang w:eastAsia="cs-CZ"/>
        </w:rPr>
        <w:t>doba plnění</w:t>
      </w:r>
    </w:p>
    <w:p w14:paraId="4DCCF507" w14:textId="6C37ECA4" w:rsidR="004E1498" w:rsidRPr="00A32857" w:rsidRDefault="004E1498" w:rsidP="00A32857">
      <w:pPr>
        <w:pStyle w:val="Nadpis2"/>
        <w:jc w:val="left"/>
      </w:pPr>
      <w:r w:rsidRPr="00A32857">
        <w:t>Místem plnění je</w:t>
      </w:r>
      <w:r w:rsidR="00A32857" w:rsidRPr="00A32857">
        <w:t xml:space="preserve"> </w:t>
      </w:r>
      <w:r w:rsidR="00A32857" w:rsidRPr="00A32857">
        <w:rPr>
          <w:rFonts w:ascii="Verdana" w:eastAsia="Verdana" w:hAnsi="Verdana" w:cs="Verdana"/>
          <w:color w:val="000000"/>
        </w:rPr>
        <w:t>Praha 1 - Nové Město, Dlážděná 1003/7, 110 00.</w:t>
      </w:r>
    </w:p>
    <w:p w14:paraId="624D8729" w14:textId="0AF3FD20" w:rsidR="005740C3" w:rsidRPr="00A32857" w:rsidRDefault="004E1498" w:rsidP="005740C3">
      <w:pPr>
        <w:pStyle w:val="Nadpis2"/>
        <w:jc w:val="left"/>
      </w:pPr>
      <w:r w:rsidRPr="00A32857">
        <w:t>Z</w:t>
      </w:r>
      <w:r w:rsidR="005740C3" w:rsidRPr="00A32857">
        <w:t xml:space="preserve">hotovitel je povinen provést a předat </w:t>
      </w:r>
      <w:r w:rsidR="00A32857" w:rsidRPr="00A32857">
        <w:t>Dílo nejpozději do:</w:t>
      </w:r>
    </w:p>
    <w:p w14:paraId="754672D1" w14:textId="77777777" w:rsidR="00A32857" w:rsidRPr="00A32857" w:rsidRDefault="00A32857" w:rsidP="00A32857">
      <w:pPr>
        <w:pStyle w:val="Nadpis2"/>
        <w:numPr>
          <w:ilvl w:val="0"/>
          <w:numId w:val="39"/>
        </w:numPr>
        <w:jc w:val="left"/>
      </w:pPr>
      <w:r w:rsidRPr="00A32857">
        <w:t>Etapa 1 - 4 (fixní část) do 4 měsíců od účinnosti smlouvy o dílo</w:t>
      </w:r>
    </w:p>
    <w:p w14:paraId="4D4264E1" w14:textId="5037AA29" w:rsidR="00A32857" w:rsidRPr="00A32857" w:rsidRDefault="008849C6" w:rsidP="00A32857">
      <w:pPr>
        <w:pStyle w:val="Nadpis2"/>
        <w:numPr>
          <w:ilvl w:val="0"/>
          <w:numId w:val="39"/>
        </w:numPr>
        <w:jc w:val="left"/>
      </w:pPr>
      <w:r>
        <w:t>Etapa 5 (ad hoc práce) do 6</w:t>
      </w:r>
      <w:r w:rsidR="00A32857" w:rsidRPr="00A32857">
        <w:t xml:space="preserve"> měsíců od účinnosti smlouvy o dílo</w:t>
      </w:r>
    </w:p>
    <w:p w14:paraId="38280017" w14:textId="77777777" w:rsidR="004E1498" w:rsidRPr="00A32857" w:rsidRDefault="004E1498" w:rsidP="00592757">
      <w:pPr>
        <w:pStyle w:val="Nadpis1"/>
        <w:rPr>
          <w:rFonts w:eastAsia="Times New Roman"/>
          <w:lang w:eastAsia="cs-CZ"/>
        </w:rPr>
      </w:pPr>
      <w:r w:rsidRPr="00A32857">
        <w:rPr>
          <w:rFonts w:eastAsia="Times New Roman"/>
          <w:lang w:eastAsia="cs-CZ"/>
        </w:rPr>
        <w:t>Záruční doba</w:t>
      </w:r>
    </w:p>
    <w:p w14:paraId="76B099DF" w14:textId="71F309CE" w:rsidR="004E1498" w:rsidRPr="00A32857" w:rsidRDefault="004E1498" w:rsidP="006C7697">
      <w:pPr>
        <w:pStyle w:val="Nadpis2"/>
        <w:jc w:val="left"/>
      </w:pPr>
      <w:r w:rsidRPr="00A32857">
        <w:t xml:space="preserve">Záruční doba činí </w:t>
      </w:r>
      <w:r w:rsidR="00816B59" w:rsidRPr="00A32857">
        <w:t>24 měsíců</w:t>
      </w:r>
      <w:r w:rsidRPr="00A32857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34FCF8" w:rsidR="00FD17C6" w:rsidRPr="00A32857" w:rsidRDefault="00FD17C6" w:rsidP="00275474">
      <w:pPr>
        <w:pStyle w:val="Nadpis2"/>
        <w:jc w:val="left"/>
      </w:pPr>
      <w:r w:rsidRPr="00A32857">
        <w:t>Na provedení Díla se budou podílet č</w:t>
      </w:r>
      <w:r w:rsidR="00816B59" w:rsidRPr="00A32857">
        <w:t>lenové realizačního týmu uvedení</w:t>
      </w:r>
      <w:r w:rsidR="00A32857" w:rsidRPr="00A32857">
        <w:t xml:space="preserve"> v příloze č. 1 </w:t>
      </w:r>
      <w:r w:rsidR="006566F7" w:rsidRPr="00A32857">
        <w:t>této S</w:t>
      </w:r>
      <w:r w:rsidRPr="00A32857">
        <w:t>mlouvy.</w:t>
      </w:r>
    </w:p>
    <w:p w14:paraId="5BBC90E2" w14:textId="7D80ABFF" w:rsidR="00FD17C6" w:rsidRPr="00A32857" w:rsidRDefault="00FD17C6" w:rsidP="00275474">
      <w:pPr>
        <w:pStyle w:val="Nadpis2"/>
        <w:jc w:val="left"/>
      </w:pPr>
      <w:r w:rsidRPr="00A32857">
        <w:t>Zhotovitel může v průběhu plnění Předmětu díla nahradit některé osoby z osob, uvedených v seznamu realizačního týmu dle přílohy č</w:t>
      </w:r>
      <w:r w:rsidR="00A32857" w:rsidRPr="00A32857">
        <w:t>. 1</w:t>
      </w:r>
      <w:r w:rsidRPr="00A32857">
        <w:t xml:space="preserve"> této </w:t>
      </w:r>
      <w:r w:rsidR="00A605AE" w:rsidRPr="00A32857">
        <w:t>S</w:t>
      </w:r>
      <w:r w:rsidRPr="00A32857">
        <w:t>mlouvy, pouze po předchozím souhlasu Objednatele na základě písemné žádosti Zhotovitele. V případě, že Zhotovitel požádá o změnu některých členů realizační</w:t>
      </w:r>
      <w:r w:rsidR="00A32857">
        <w:t>ho týmu uvedeného v příloze č. 1</w:t>
      </w:r>
      <w:r w:rsidRPr="00A32857">
        <w:t xml:space="preserve"> této Smlouvy, musí tato osoba, splňovat kvalifikaci požadovanou </w:t>
      </w:r>
      <w:r w:rsidR="00380260" w:rsidRPr="00A32857">
        <w:t>ve Veřejné zakázce</w:t>
      </w:r>
      <w:r w:rsidRPr="00A32857">
        <w:t>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A12EA4" w:rsidRDefault="004E1498" w:rsidP="00A12EA4">
      <w:pPr>
        <w:pStyle w:val="Nadpis2"/>
        <w:jc w:val="left"/>
      </w:pPr>
      <w:r w:rsidRPr="00A12EA4">
        <w:t>Kontaktními osobami smluvních stran jsou</w:t>
      </w:r>
    </w:p>
    <w:p w14:paraId="4E7FEA6D" w14:textId="3CE6DDBA" w:rsidR="004E1498" w:rsidRPr="00A12EA4" w:rsidRDefault="004E1498" w:rsidP="00A12EA4">
      <w:pPr>
        <w:pStyle w:val="Nadpis3"/>
        <w:jc w:val="left"/>
      </w:pPr>
      <w:r w:rsidRPr="00A12EA4">
        <w:t xml:space="preserve">za Objednatele p. </w:t>
      </w:r>
      <w:r w:rsidR="00F2339E" w:rsidRPr="00A12EA4">
        <w:t>Bílková Alice</w:t>
      </w:r>
      <w:r w:rsidRPr="00A12EA4">
        <w:t xml:space="preserve"> tel. </w:t>
      </w:r>
      <w:r w:rsidR="00F2339E" w:rsidRPr="00A12EA4">
        <w:t>+420 602 376 093</w:t>
      </w:r>
      <w:r w:rsidR="0086114C" w:rsidRPr="00A12EA4">
        <w:t>,</w:t>
      </w:r>
      <w:r w:rsidR="00A12EA4" w:rsidRPr="00A12EA4">
        <w:t xml:space="preserve"> </w:t>
      </w:r>
      <w:r w:rsidRPr="00A12EA4">
        <w:t xml:space="preserve">email </w:t>
      </w:r>
      <w:r w:rsidR="00F2339E" w:rsidRPr="00A12EA4">
        <w:t>Bilkova@spravazeleznic.cz</w:t>
      </w:r>
      <w:r w:rsidR="0086114C" w:rsidRPr="00A12EA4">
        <w:t>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lastRenderedPageBreak/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AB3FAE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316D48D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460011">
      <w:pPr>
        <w:pStyle w:val="Nadpis2"/>
        <w:jc w:val="left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 a to bez ohledu na právní formu tohoto sdružení.</w:t>
      </w:r>
    </w:p>
    <w:p w14:paraId="1162654B" w14:textId="44A36722" w:rsidR="0073792E" w:rsidRPr="0073792E" w:rsidRDefault="0073792E" w:rsidP="00460011">
      <w:pPr>
        <w:pStyle w:val="Nadpis2"/>
        <w:jc w:val="left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</w:t>
      </w:r>
      <w:r w:rsidRPr="0073792E">
        <w:lastRenderedPageBreak/>
        <w:t xml:space="preserve">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A32857" w:rsidRDefault="0073792E" w:rsidP="00460011">
      <w:pPr>
        <w:pStyle w:val="Nadpis2"/>
        <w:jc w:val="left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</w:t>
      </w:r>
      <w:r w:rsidRPr="00A32857">
        <w:t>nebo právnickým osobám, subjektům či orgánům s nimi spojeným uvedeným v Sankčních seznamech,</w:t>
      </w:r>
      <w:r w:rsidRPr="00A32857">
        <w:rPr>
          <w:rFonts w:cstheme="majorBidi"/>
        </w:rPr>
        <w:t xml:space="preserve"> nebo v jejich prospěch</w:t>
      </w:r>
      <w:r w:rsidRPr="00A32857">
        <w:t>.</w:t>
      </w:r>
    </w:p>
    <w:p w14:paraId="57CF7C6B" w14:textId="29677DFC" w:rsidR="00AB3FAE" w:rsidRPr="00A32857" w:rsidRDefault="0073792E" w:rsidP="00460011">
      <w:pPr>
        <w:pStyle w:val="Nadpis2"/>
      </w:pPr>
      <w:r w:rsidRPr="00A32857">
        <w:t xml:space="preserve">Ukáží-li se prohlášení Zhotovitele dle odstavce </w:t>
      </w:r>
      <w:r w:rsidR="004B2D5D" w:rsidRPr="00A32857">
        <w:t>8</w:t>
      </w:r>
      <w:r w:rsidRPr="00A32857">
        <w:t xml:space="preserve">.1 a </w:t>
      </w:r>
      <w:r w:rsidR="004B2D5D" w:rsidRPr="00A32857">
        <w:t>8</w:t>
      </w:r>
      <w:r w:rsidRPr="00A32857">
        <w:t xml:space="preserve">.2 této Smlouvy jako nepravdivá nebo poruší-li Zhotovitel svou oznamovací povinnost dle odstavce </w:t>
      </w:r>
      <w:r w:rsidR="004B2D5D" w:rsidRPr="00A32857">
        <w:t>8</w:t>
      </w:r>
      <w:r w:rsidRPr="00A32857">
        <w:t xml:space="preserve">.4. nebo povinnosti dle odstavců </w:t>
      </w:r>
      <w:r w:rsidR="00E21248" w:rsidRPr="00A32857">
        <w:t>8</w:t>
      </w:r>
      <w:r w:rsidRPr="00A32857">
        <w:t xml:space="preserve">.5 nebo </w:t>
      </w:r>
      <w:r w:rsidR="00E21248" w:rsidRPr="00A32857">
        <w:t>8</w:t>
      </w:r>
      <w:r w:rsidRPr="00A32857">
        <w:t>.6 této Smlouvy, je Objednatel oprávněn odstoupit od této Smlouvy. Zhotovitel je dále povinen zaplatit za každé jednotlivé porušení povinností dle předchozí věty smluvní pokutu ve výši 5 % procent z</w:t>
      </w:r>
      <w:r w:rsidR="00E13382" w:rsidRPr="00A32857">
        <w:t> C</w:t>
      </w:r>
      <w:r w:rsidRPr="00A32857">
        <w:t>eny</w:t>
      </w:r>
      <w:r w:rsidR="00E13382" w:rsidRPr="00A32857">
        <w:t xml:space="preserve"> díla (C</w:t>
      </w:r>
      <w:r w:rsidRPr="00A32857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A32857" w:rsidRDefault="004E1498" w:rsidP="009C30C5">
      <w:pPr>
        <w:pStyle w:val="Nadpis2"/>
        <w:ind w:left="567" w:hanging="567"/>
        <w:jc w:val="left"/>
      </w:pPr>
      <w:r w:rsidRPr="00A32857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A32857" w:rsidRDefault="004E1498" w:rsidP="009C30C5">
      <w:pPr>
        <w:pStyle w:val="Nadpis2"/>
        <w:ind w:left="567" w:hanging="567"/>
        <w:jc w:val="left"/>
      </w:pPr>
      <w:r w:rsidRPr="00A32857">
        <w:rPr>
          <w:rFonts w:eastAsia="Calibri"/>
        </w:rPr>
        <w:t xml:space="preserve">Tato </w:t>
      </w:r>
      <w:r w:rsidR="00D9782E" w:rsidRPr="00A32857">
        <w:rPr>
          <w:rFonts w:eastAsia="Calibri"/>
        </w:rPr>
        <w:t>Sml</w:t>
      </w:r>
      <w:r w:rsidRPr="00A32857">
        <w:rPr>
          <w:rFonts w:eastAsia="Calibri"/>
        </w:rPr>
        <w:t xml:space="preserve">ouva nabývá platnosti okamžikem podpisu poslední ze </w:t>
      </w:r>
      <w:r w:rsidR="00D9782E" w:rsidRPr="00A32857">
        <w:rPr>
          <w:rFonts w:eastAsia="Calibri"/>
        </w:rPr>
        <w:t>Sml</w:t>
      </w:r>
      <w:r w:rsidRPr="00A32857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1BE55E0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DF176C6" w14:textId="3A8D63DD" w:rsidR="00A32857" w:rsidRDefault="00A3285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D3CF557" w14:textId="59B79259" w:rsidR="00A32857" w:rsidRDefault="00A3285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2763932" w14:textId="77777777" w:rsidR="00A32857" w:rsidRPr="004E1498" w:rsidRDefault="00A3285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7E4249C3" w14:textId="4E460D55" w:rsidR="00A32857" w:rsidRPr="009B4030" w:rsidRDefault="00A32857" w:rsidP="00A32857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A32857">
        <w:rPr>
          <w:rFonts w:eastAsia="Times New Roman" w:cs="Times New Roman"/>
          <w:lang w:eastAsia="cs-CZ"/>
        </w:rPr>
        <w:t>Seznam realizačního týmu</w:t>
      </w:r>
      <w:r>
        <w:rPr>
          <w:rFonts w:eastAsia="Times New Roman" w:cs="Times New Roman"/>
          <w:lang w:eastAsia="cs-CZ"/>
        </w:rPr>
        <w:t xml:space="preserve"> </w:t>
      </w:r>
      <w:r w:rsidRPr="00A32857">
        <w:rPr>
          <w:rFonts w:eastAsia="Times New Roman" w:cs="Times New Roman"/>
          <w:lang w:eastAsia="cs-CZ"/>
        </w:rPr>
        <w:t xml:space="preserve">- </w:t>
      </w:r>
      <w:r w:rsidRPr="009B4030">
        <w:rPr>
          <w:rFonts w:eastAsia="Times New Roman" w:cs="Times New Roman"/>
          <w:highlight w:val="green"/>
          <w:lang w:eastAsia="cs-CZ"/>
        </w:rPr>
        <w:t>doplní 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43B7F614" w:rsidR="006E6E61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0368250D" w14:textId="42ACF9D9" w:rsidR="008849C6" w:rsidRPr="008849C6" w:rsidRDefault="008849C6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8849C6">
        <w:rPr>
          <w:rFonts w:eastAsia="Times New Roman" w:cs="Times New Roman"/>
          <w:lang w:eastAsia="cs-CZ"/>
        </w:rPr>
        <w:t>Obchodní podmínky</w:t>
      </w:r>
    </w:p>
    <w:p w14:paraId="314AFFCD" w14:textId="67F0AEE4" w:rsidR="00D657AD" w:rsidRPr="009B4030" w:rsidRDefault="00D657AD" w:rsidP="00A32857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4ADF08F5" w:rsidR="00613238" w:rsidRDefault="00731CA1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86954F9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BEDDF73" w14:textId="1CFD21C1" w:rsidR="00A32857" w:rsidRDefault="00A32857" w:rsidP="00613238">
      <w:pPr>
        <w:spacing w:after="0" w:line="276" w:lineRule="auto"/>
        <w:rPr>
          <w:rFonts w:asciiTheme="majorHAnsi" w:hAnsiTheme="majorHAnsi"/>
        </w:rPr>
      </w:pPr>
    </w:p>
    <w:p w14:paraId="36049B2B" w14:textId="77777777" w:rsidR="00A32857" w:rsidRDefault="00A32857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654640F0" w:rsidR="00613238" w:rsidRDefault="00A32857" w:rsidP="00613238">
      <w:pPr>
        <w:spacing w:after="0" w:line="276" w:lineRule="auto"/>
        <w:rPr>
          <w:rFonts w:asciiTheme="majorHAnsi" w:hAnsiTheme="majorHAnsi"/>
          <w:noProof/>
        </w:rPr>
      </w:pPr>
      <w:r w:rsidRPr="00A32857">
        <w:rPr>
          <w:b/>
          <w:noProof/>
        </w:rPr>
        <w:t>Ing. Aleš Krejčí</w:t>
      </w:r>
      <w:r w:rsidR="00613238" w:rsidRPr="00A32857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3361AFE" w14:textId="53440E81" w:rsidR="00A32857" w:rsidRDefault="00A32857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náměstek GŘ pro ekonomiku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3AEC8" w14:textId="77777777" w:rsidR="00BF3420" w:rsidRDefault="00BF3420" w:rsidP="00962258">
      <w:pPr>
        <w:spacing w:after="0" w:line="240" w:lineRule="auto"/>
      </w:pPr>
      <w:r>
        <w:separator/>
      </w:r>
    </w:p>
  </w:endnote>
  <w:endnote w:type="continuationSeparator" w:id="0">
    <w:p w14:paraId="605785A1" w14:textId="77777777" w:rsidR="00BF3420" w:rsidRDefault="00BF34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EDCF454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3CF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3CF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AF708B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039DE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274F3E4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3C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3CF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7CF39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E5E75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8706E" w14:textId="77777777" w:rsidR="00BF3420" w:rsidRDefault="00BF3420" w:rsidP="00962258">
      <w:pPr>
        <w:spacing w:after="0" w:line="240" w:lineRule="auto"/>
      </w:pPr>
      <w:r>
        <w:separator/>
      </w:r>
    </w:p>
  </w:footnote>
  <w:footnote w:type="continuationSeparator" w:id="0">
    <w:p w14:paraId="3BE77C4F" w14:textId="77777777" w:rsidR="00BF3420" w:rsidRDefault="00BF34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354735"/>
    <w:multiLevelType w:val="hybridMultilevel"/>
    <w:tmpl w:val="7E3EAAE6"/>
    <w:lvl w:ilvl="0" w:tplc="0E90FD5C">
      <w:start w:val="1"/>
      <w:numFmt w:val="decimal"/>
      <w:lvlText w:val="%1)"/>
      <w:lvlJc w:val="left"/>
      <w:pPr>
        <w:ind w:left="936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AFF7E7D"/>
    <w:multiLevelType w:val="hybridMultilevel"/>
    <w:tmpl w:val="920C3C88"/>
    <w:lvl w:ilvl="0" w:tplc="040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1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3"/>
  </w:num>
  <w:num w:numId="5">
    <w:abstractNumId w:val="10"/>
  </w:num>
  <w:num w:numId="6">
    <w:abstractNumId w:val="1"/>
  </w:num>
  <w:num w:numId="7">
    <w:abstractNumId w:val="12"/>
  </w:num>
  <w:num w:numId="8">
    <w:abstractNumId w:val="24"/>
  </w:num>
  <w:num w:numId="9">
    <w:abstractNumId w:val="13"/>
  </w:num>
  <w:num w:numId="10">
    <w:abstractNumId w:val="8"/>
  </w:num>
  <w:num w:numId="11">
    <w:abstractNumId w:val="3"/>
  </w:num>
  <w:num w:numId="12">
    <w:abstractNumId w:val="19"/>
  </w:num>
  <w:num w:numId="13">
    <w:abstractNumId w:val="22"/>
  </w:num>
  <w:num w:numId="14">
    <w:abstractNumId w:val="6"/>
  </w:num>
  <w:num w:numId="15">
    <w:abstractNumId w:val="25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21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18"/>
  </w:num>
  <w:num w:numId="39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148B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0A50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49A6"/>
    <w:rsid w:val="004C728D"/>
    <w:rsid w:val="004C787C"/>
    <w:rsid w:val="004E143C"/>
    <w:rsid w:val="004E1498"/>
    <w:rsid w:val="004E3A53"/>
    <w:rsid w:val="004F4B9B"/>
    <w:rsid w:val="005061B5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3885"/>
    <w:rsid w:val="007061F8"/>
    <w:rsid w:val="00710723"/>
    <w:rsid w:val="00723ED1"/>
    <w:rsid w:val="00731100"/>
    <w:rsid w:val="00731CA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49C6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2EA4"/>
    <w:rsid w:val="00A157FE"/>
    <w:rsid w:val="00A320BE"/>
    <w:rsid w:val="00A32857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3B85"/>
    <w:rsid w:val="00BC4DC9"/>
    <w:rsid w:val="00BC6EF1"/>
    <w:rsid w:val="00BD5816"/>
    <w:rsid w:val="00BD7E91"/>
    <w:rsid w:val="00BF2DD6"/>
    <w:rsid w:val="00BF3420"/>
    <w:rsid w:val="00C02D0A"/>
    <w:rsid w:val="00C03A6E"/>
    <w:rsid w:val="00C22949"/>
    <w:rsid w:val="00C35AE5"/>
    <w:rsid w:val="00C42A1F"/>
    <w:rsid w:val="00C44F6A"/>
    <w:rsid w:val="00C47AE3"/>
    <w:rsid w:val="00C70EC1"/>
    <w:rsid w:val="00CA335B"/>
    <w:rsid w:val="00CA3CF5"/>
    <w:rsid w:val="00CB53B1"/>
    <w:rsid w:val="00CC6991"/>
    <w:rsid w:val="00CD1FC4"/>
    <w:rsid w:val="00CD43B3"/>
    <w:rsid w:val="00D21061"/>
    <w:rsid w:val="00D4108E"/>
    <w:rsid w:val="00D6163D"/>
    <w:rsid w:val="00D657AD"/>
    <w:rsid w:val="00D76037"/>
    <w:rsid w:val="00D831A3"/>
    <w:rsid w:val="00D85C5B"/>
    <w:rsid w:val="00D9782E"/>
    <w:rsid w:val="00DA436E"/>
    <w:rsid w:val="00DB210B"/>
    <w:rsid w:val="00DC60C3"/>
    <w:rsid w:val="00DC75F3"/>
    <w:rsid w:val="00DD46F3"/>
    <w:rsid w:val="00DE56F2"/>
    <w:rsid w:val="00DF116D"/>
    <w:rsid w:val="00E017C5"/>
    <w:rsid w:val="00E13382"/>
    <w:rsid w:val="00E21248"/>
    <w:rsid w:val="00E45EDD"/>
    <w:rsid w:val="00E55F3F"/>
    <w:rsid w:val="00E62AF1"/>
    <w:rsid w:val="00EB104F"/>
    <w:rsid w:val="00EC44FE"/>
    <w:rsid w:val="00ED14BD"/>
    <w:rsid w:val="00EF1804"/>
    <w:rsid w:val="00F0533E"/>
    <w:rsid w:val="00F1048D"/>
    <w:rsid w:val="00F12C80"/>
    <w:rsid w:val="00F12DEC"/>
    <w:rsid w:val="00F1715C"/>
    <w:rsid w:val="00F173A5"/>
    <w:rsid w:val="00F2339E"/>
    <w:rsid w:val="00F310F8"/>
    <w:rsid w:val="00F35939"/>
    <w:rsid w:val="00F45607"/>
    <w:rsid w:val="00F60F94"/>
    <w:rsid w:val="00F659EB"/>
    <w:rsid w:val="00F70D17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5867CE49-4439-4E04-8C2C-507DD678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C95B6E-3C86-4692-A489-7802B408D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2502</Words>
  <Characters>14765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Herdová Veronika, DiS.</cp:lastModifiedBy>
  <cp:revision>6</cp:revision>
  <cp:lastPrinted>2017-11-28T17:18:00Z</cp:lastPrinted>
  <dcterms:created xsi:type="dcterms:W3CDTF">2022-06-08T06:37:00Z</dcterms:created>
  <dcterms:modified xsi:type="dcterms:W3CDTF">2022-06-08T08:48:00Z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